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4" w:rsidRPr="003D424B" w:rsidRDefault="009769E4" w:rsidP="003D424B">
      <w:pPr>
        <w:spacing w:line="0" w:lineRule="atLeast"/>
        <w:jc w:val="center"/>
        <w:rPr>
          <w:b/>
          <w:sz w:val="28"/>
          <w:szCs w:val="28"/>
        </w:rPr>
      </w:pPr>
      <w:r w:rsidRPr="003D424B">
        <w:rPr>
          <w:rFonts w:hint="eastAsia"/>
          <w:b/>
          <w:sz w:val="28"/>
          <w:szCs w:val="28"/>
        </w:rPr>
        <w:t>中國經典詮釋觀概述</w:t>
      </w:r>
    </w:p>
    <w:p w:rsidR="008970FE" w:rsidRPr="003D424B" w:rsidRDefault="008970FE" w:rsidP="003D424B">
      <w:pPr>
        <w:pStyle w:val="1"/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概述</w:t>
      </w:r>
    </w:p>
    <w:p w:rsidR="008970FE" w:rsidRP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－有些現代中國學者說詮釋學在中國古代已有，言過其實，∵傳統中國哲學從未以詮釋問題為中心。∴只能說我們有些哲學著述中部分觀點有相同或相近於詮釋學的觀點。</w:t>
      </w:r>
    </w:p>
    <w:p w:rsidR="008970FE" w:rsidRPr="003D424B" w:rsidRDefault="008970FE" w:rsidP="003D424B">
      <w:pPr>
        <w:spacing w:line="0" w:lineRule="atLeast"/>
        <w:ind w:leftChars="59" w:left="307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→我們用「中國經典詮釋觀」為題，而不是以「中國詮釋學」為題。</w:t>
      </w:r>
    </w:p>
    <w:p w:rsidR="008970FE" w:rsidRP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－以上述意義來說，我們其實很早已有近於詮釋學的經典詮釋觀。</w:t>
      </w:r>
      <w:r w:rsidRPr="003D424B">
        <w:rPr>
          <w:sz w:val="28"/>
          <w:szCs w:val="28"/>
        </w:rPr>
        <w:t>E</w:t>
      </w:r>
      <w:r w:rsidRPr="003D424B">
        <w:rPr>
          <w:rFonts w:hint="eastAsia"/>
          <w:sz w:val="28"/>
          <w:szCs w:val="28"/>
        </w:rPr>
        <w:t>.</w:t>
      </w:r>
      <w:r w:rsidRPr="003D424B">
        <w:rPr>
          <w:sz w:val="28"/>
          <w:szCs w:val="28"/>
        </w:rPr>
        <w:t>g.</w:t>
      </w:r>
      <w:r w:rsidRPr="003D424B">
        <w:rPr>
          <w:rFonts w:hint="eastAsia"/>
          <w:sz w:val="28"/>
          <w:szCs w:val="28"/>
        </w:rPr>
        <w:t>《左傳》解釋《春秋》、《易傳》解釋《周易》等。</w:t>
      </w:r>
    </w:p>
    <w:p w:rsidR="008970FE" w:rsidRPr="003D424B" w:rsidRDefault="008970FE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∴在建構有中國特色的詮釋學，或者以中國經典詮釋觀來補足詮釋學觀點，我們有許多資源可資運用。</w:t>
      </w:r>
    </w:p>
    <w:p w:rsid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－限於時間，今集只側重以「我注六經、六經注我」的說法來說明中國經典詮釋觀對詮釋學的一個重要的補足。</w:t>
      </w:r>
    </w:p>
    <w:p w:rsidR="008970FE" w:rsidRPr="003D424B" w:rsidRDefault="008970FE" w:rsidP="003D424B">
      <w:pPr>
        <w:pStyle w:val="1"/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「我注六經、六經注我」說及其涵義</w:t>
      </w:r>
    </w:p>
    <w:p w:rsidR="008970FE" w:rsidRP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－「我注六經、六經注我」的說法原出於宋儒陸象山（陸九淵），其原文為：「學苟知本，六經皆我注腳。」（《陸象山語錄》卷上）</w:t>
      </w:r>
    </w:p>
    <w:p w:rsidR="008970FE" w:rsidRP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－這種經典詮釋</w:t>
      </w:r>
      <w:r w:rsidR="001C5D1F">
        <w:rPr>
          <w:rFonts w:hint="eastAsia"/>
          <w:sz w:val="28"/>
          <w:szCs w:val="28"/>
        </w:rPr>
        <w:t>觀</w:t>
      </w:r>
      <w:r w:rsidRPr="003D424B">
        <w:rPr>
          <w:rFonts w:hint="eastAsia"/>
          <w:sz w:val="28"/>
          <w:szCs w:val="28"/>
        </w:rPr>
        <w:t>點，其實與其哲學（屬心學派）有密切關係，以下只能通過其與宋儒朱子（屬理學派）</w:t>
      </w:r>
      <w:r w:rsidR="001C5D1F">
        <w:rPr>
          <w:rFonts w:hint="eastAsia"/>
          <w:sz w:val="28"/>
          <w:szCs w:val="28"/>
        </w:rPr>
        <w:t>對照</w:t>
      </w:r>
      <w:r w:rsidRPr="003D424B">
        <w:rPr>
          <w:rFonts w:hint="eastAsia"/>
          <w:sz w:val="28"/>
          <w:szCs w:val="28"/>
        </w:rPr>
        <w:t>加以略述。</w:t>
      </w:r>
    </w:p>
    <w:p w:rsidR="008970FE" w:rsidRPr="003D424B" w:rsidRDefault="008970FE" w:rsidP="003D424B">
      <w:pPr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－兩家觀點主要異同：</w:t>
      </w:r>
    </w:p>
    <w:p w:rsidR="008970FE" w:rsidRPr="003D424B" w:rsidRDefault="008970FE" w:rsidP="003D424B">
      <w:pPr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／朱子及程朱理學</w:t>
      </w:r>
    </w:p>
    <w:p w:rsidR="008970FE" w:rsidRPr="003D424B" w:rsidRDefault="008970FE" w:rsidP="003D424B">
      <w:pPr>
        <w:spacing w:line="0" w:lineRule="atLeast"/>
        <w:ind w:left="661" w:hangingChars="236" w:hanging="661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－從凡人境界（性即理，心不即理，此為人的現實境界）的本體論角度，講湯武反之也（</w:t>
      </w:r>
      <w:r w:rsidR="00D24DEB" w:rsidRPr="003D424B">
        <w:rPr>
          <w:rFonts w:hint="eastAsia"/>
          <w:sz w:val="28"/>
          <w:szCs w:val="28"/>
        </w:rPr>
        <w:t>孟子語，朱子稱為「</w:t>
      </w:r>
      <w:r w:rsidRPr="003D424B">
        <w:rPr>
          <w:rFonts w:hint="eastAsia"/>
          <w:sz w:val="28"/>
          <w:szCs w:val="28"/>
        </w:rPr>
        <w:t>即物窮理</w:t>
      </w:r>
      <w:r w:rsidR="00D24DEB" w:rsidRPr="003D424B">
        <w:rPr>
          <w:rFonts w:hint="eastAsia"/>
          <w:sz w:val="28"/>
          <w:szCs w:val="28"/>
        </w:rPr>
        <w:t>」</w:t>
      </w:r>
      <w:r w:rsidRPr="003D424B">
        <w:rPr>
          <w:rFonts w:hint="eastAsia"/>
          <w:sz w:val="28"/>
          <w:szCs w:val="28"/>
        </w:rPr>
        <w:t>）的成德工夫。</w:t>
      </w:r>
    </w:p>
    <w:p w:rsidR="008970FE" w:rsidRPr="003D424B" w:rsidRDefault="008970FE" w:rsidP="003D424B">
      <w:pPr>
        <w:spacing w:line="0" w:lineRule="atLeast"/>
        <w:ind w:left="720" w:hanging="72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</w:t>
      </w:r>
      <w:r w:rsidRPr="003D424B">
        <w:rPr>
          <w:rFonts w:ascii="新細明體" w:hAnsi="新細明體" w:hint="eastAsia"/>
          <w:sz w:val="28"/>
          <w:szCs w:val="28"/>
        </w:rPr>
        <w:t>∵</w:t>
      </w:r>
      <w:r w:rsidRPr="003D424B">
        <w:rPr>
          <w:rFonts w:hint="eastAsia"/>
          <w:sz w:val="28"/>
          <w:szCs w:val="28"/>
        </w:rPr>
        <w:t>凡人受私欲的障蔽而不能充分實現本心，</w:t>
      </w:r>
      <w:r w:rsidRPr="003D424B">
        <w:rPr>
          <w:rFonts w:ascii="新細明體" w:hAnsi="新細明體" w:hint="eastAsia"/>
          <w:sz w:val="28"/>
          <w:szCs w:val="28"/>
        </w:rPr>
        <w:t>∴</w:t>
      </w:r>
      <w:r w:rsidRPr="003D424B">
        <w:rPr>
          <w:rFonts w:hint="eastAsia"/>
          <w:sz w:val="28"/>
          <w:szCs w:val="28"/>
        </w:rPr>
        <w:t>凡人欲成為聖人，必須向聖人學習，故主張多讀聖賢經典的道問學</w:t>
      </w:r>
      <w:r w:rsidR="00D24DEB" w:rsidRPr="003D424B">
        <w:rPr>
          <w:rFonts w:hint="eastAsia"/>
          <w:sz w:val="28"/>
          <w:szCs w:val="28"/>
        </w:rPr>
        <w:t>（中庸語）</w:t>
      </w:r>
      <w:r w:rsidRPr="003D424B">
        <w:rPr>
          <w:rFonts w:hint="eastAsia"/>
          <w:sz w:val="28"/>
          <w:szCs w:val="28"/>
        </w:rPr>
        <w:t>工夫</w:t>
      </w:r>
      <w:r w:rsidRPr="003D424B">
        <w:rPr>
          <w:rFonts w:ascii="新細明體" w:hAnsi="新細明體" w:hint="eastAsia"/>
          <w:sz w:val="28"/>
          <w:szCs w:val="28"/>
        </w:rPr>
        <w:t>。</w:t>
      </w:r>
    </w:p>
    <w:p w:rsidR="008970FE" w:rsidRPr="003D424B" w:rsidRDefault="008970FE" w:rsidP="003D424B">
      <w:pPr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＼象山及陸王心學</w:t>
      </w:r>
    </w:p>
    <w:p w:rsidR="008970FE" w:rsidRPr="003D424B" w:rsidRDefault="008970FE" w:rsidP="003D424B">
      <w:pPr>
        <w:spacing w:line="0" w:lineRule="atLeast"/>
        <w:ind w:left="661" w:hangingChars="236" w:hanging="661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－從聖人境界（心即理，此為人的理想境界）的本體論角度，講堯舜性之也（</w:t>
      </w:r>
      <w:r w:rsidR="00D24DEB" w:rsidRPr="003D424B">
        <w:rPr>
          <w:rFonts w:hint="eastAsia"/>
          <w:sz w:val="28"/>
          <w:szCs w:val="28"/>
        </w:rPr>
        <w:t>孟子語，象山稱為「</w:t>
      </w:r>
      <w:r w:rsidRPr="003D424B">
        <w:rPr>
          <w:rFonts w:hint="eastAsia"/>
          <w:sz w:val="28"/>
          <w:szCs w:val="28"/>
        </w:rPr>
        <w:t>先立</w:t>
      </w:r>
      <w:r w:rsidR="00D24DEB" w:rsidRPr="003D424B">
        <w:rPr>
          <w:rFonts w:hint="eastAsia"/>
          <w:sz w:val="28"/>
          <w:szCs w:val="28"/>
        </w:rPr>
        <w:t>乎</w:t>
      </w:r>
      <w:r w:rsidRPr="003D424B">
        <w:rPr>
          <w:rFonts w:hint="eastAsia"/>
          <w:sz w:val="28"/>
          <w:szCs w:val="28"/>
        </w:rPr>
        <w:t>其大</w:t>
      </w:r>
      <w:r w:rsidR="00D24DEB" w:rsidRPr="003D424B">
        <w:rPr>
          <w:rFonts w:hint="eastAsia"/>
          <w:sz w:val="28"/>
          <w:szCs w:val="28"/>
        </w:rPr>
        <w:t>者」，</w:t>
      </w:r>
      <w:r w:rsidRPr="003D424B">
        <w:rPr>
          <w:rFonts w:hint="eastAsia"/>
          <w:sz w:val="28"/>
          <w:szCs w:val="28"/>
        </w:rPr>
        <w:t>或</w:t>
      </w:r>
      <w:r w:rsidR="00D24DEB" w:rsidRPr="003D424B">
        <w:rPr>
          <w:rFonts w:hint="eastAsia"/>
          <w:sz w:val="28"/>
          <w:szCs w:val="28"/>
        </w:rPr>
        <w:t>即</w:t>
      </w:r>
      <w:r w:rsidRPr="003D424B">
        <w:rPr>
          <w:rFonts w:hint="eastAsia"/>
          <w:sz w:val="28"/>
          <w:szCs w:val="28"/>
        </w:rPr>
        <w:t>後來王陽明講的</w:t>
      </w:r>
      <w:r w:rsidR="006A630A" w:rsidRPr="003D424B">
        <w:rPr>
          <w:rFonts w:hint="eastAsia"/>
          <w:sz w:val="28"/>
          <w:szCs w:val="28"/>
        </w:rPr>
        <w:t>「</w:t>
      </w:r>
      <w:r w:rsidRPr="003D424B">
        <w:rPr>
          <w:rFonts w:hint="eastAsia"/>
          <w:sz w:val="28"/>
          <w:szCs w:val="28"/>
        </w:rPr>
        <w:t>致良知</w:t>
      </w:r>
      <w:r w:rsidR="006A630A" w:rsidRPr="003D424B">
        <w:rPr>
          <w:rFonts w:hint="eastAsia"/>
          <w:sz w:val="28"/>
          <w:szCs w:val="28"/>
        </w:rPr>
        <w:t>」</w:t>
      </w:r>
      <w:r w:rsidRPr="003D424B">
        <w:rPr>
          <w:rFonts w:hint="eastAsia"/>
          <w:sz w:val="28"/>
          <w:szCs w:val="28"/>
        </w:rPr>
        <w:t>）的成德工夫。</w:t>
      </w:r>
    </w:p>
    <w:p w:rsidR="008970FE" w:rsidRPr="003D424B" w:rsidRDefault="008970FE" w:rsidP="003D424B">
      <w:pPr>
        <w:spacing w:line="0" w:lineRule="atLeast"/>
        <w:ind w:left="720" w:hanging="72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</w:t>
      </w:r>
      <w:r w:rsidRPr="003D424B">
        <w:rPr>
          <w:rFonts w:ascii="新細明體" w:hAnsi="新細明體" w:hint="eastAsia"/>
          <w:sz w:val="28"/>
          <w:szCs w:val="28"/>
        </w:rPr>
        <w:t>∵</w:t>
      </w:r>
      <w:r w:rsidRPr="003D424B">
        <w:rPr>
          <w:rFonts w:hint="eastAsia"/>
          <w:sz w:val="28"/>
          <w:szCs w:val="28"/>
        </w:rPr>
        <w:t>聖人本心不為私欲所蔽而能充分實現本心，</w:t>
      </w:r>
      <w:r w:rsidRPr="003D424B">
        <w:rPr>
          <w:rFonts w:ascii="新細明體" w:hAnsi="新細明體" w:hint="eastAsia"/>
          <w:sz w:val="28"/>
          <w:szCs w:val="28"/>
        </w:rPr>
        <w:t>∴</w:t>
      </w:r>
      <w:r w:rsidRPr="003D424B">
        <w:rPr>
          <w:rFonts w:hint="eastAsia"/>
          <w:sz w:val="28"/>
          <w:szCs w:val="28"/>
        </w:rPr>
        <w:t>只須率性而為便能維持其為聖人，故主張自己身體力行的尊德性</w:t>
      </w:r>
      <w:r w:rsidR="001C5D1F" w:rsidRPr="003D424B">
        <w:rPr>
          <w:rFonts w:hint="eastAsia"/>
          <w:sz w:val="28"/>
          <w:szCs w:val="28"/>
        </w:rPr>
        <w:t>（中庸語）</w:t>
      </w:r>
      <w:r w:rsidRPr="003D424B">
        <w:rPr>
          <w:rFonts w:hint="eastAsia"/>
          <w:sz w:val="28"/>
          <w:szCs w:val="28"/>
        </w:rPr>
        <w:t>工夫</w:t>
      </w:r>
      <w:r w:rsidRPr="003D424B">
        <w:rPr>
          <w:rFonts w:ascii="新細明體" w:hAnsi="新細明體" w:hint="eastAsia"/>
          <w:sz w:val="28"/>
          <w:szCs w:val="28"/>
        </w:rPr>
        <w:t>。</w:t>
      </w:r>
    </w:p>
    <w:p w:rsidR="008970FE" w:rsidRPr="003D424B" w:rsidRDefault="008970FE" w:rsidP="003D424B">
      <w:pPr>
        <w:pStyle w:val="a0"/>
        <w:spacing w:line="0" w:lineRule="atLeast"/>
        <w:ind w:left="600" w:hanging="120"/>
        <w:rPr>
          <w:rFonts w:ascii="新細明體" w:hAnsi="新細明體"/>
          <w:sz w:val="28"/>
          <w:szCs w:val="28"/>
        </w:rPr>
      </w:pPr>
      <w:r w:rsidRPr="003D424B">
        <w:rPr>
          <w:rFonts w:ascii="新細明體" w:hAnsi="新細明體" w:hint="eastAsia"/>
          <w:sz w:val="28"/>
          <w:szCs w:val="28"/>
        </w:rPr>
        <w:t>→兩者只是立說的角度的不同，而並無根本的對立；兩者都同屬正統的儒家，只是大同中的小異。</w:t>
      </w:r>
    </w:p>
    <w:p w:rsidR="008970FE" w:rsidRPr="003D424B" w:rsidRDefault="008970FE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－上面是就哲學（本體論、工夫論）角度說，若就經典詮釋的角度說：</w:t>
      </w:r>
    </w:p>
    <w:p w:rsidR="008970FE" w:rsidRPr="003D424B" w:rsidRDefault="008970FE" w:rsidP="003D424B">
      <w:pPr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／朱子及程朱理學</w:t>
      </w:r>
    </w:p>
    <w:p w:rsidR="008970FE" w:rsidRPr="003D424B" w:rsidRDefault="008970FE" w:rsidP="003D424B">
      <w:pPr>
        <w:spacing w:line="0" w:lineRule="atLeast"/>
        <w:ind w:left="661" w:hangingChars="236" w:hanging="661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－可說講「我注六經」（朱子沒有用這個用語，但有這個意思），極重視經典註釋，並且極重視講從經典中學習聖人的道德修養。</w:t>
      </w:r>
    </w:p>
    <w:p w:rsidR="008970FE" w:rsidRPr="003D424B" w:rsidRDefault="008970FE" w:rsidP="003D424B">
      <w:pPr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＼象山及陸王心學</w:t>
      </w:r>
    </w:p>
    <w:p w:rsidR="008970FE" w:rsidRPr="003D424B" w:rsidRDefault="008970FE" w:rsidP="003D424B">
      <w:pPr>
        <w:spacing w:line="0" w:lineRule="atLeast"/>
        <w:ind w:left="661" w:hangingChars="236" w:hanging="661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 xml:space="preserve">　　－明白地講「六經注我」，不重視經典註釋，也不重視從經典中學習聖人，反而著重自己去思考和實踐。</w:t>
      </w:r>
    </w:p>
    <w:p w:rsidR="008970FE" w:rsidRPr="003D424B" w:rsidRDefault="00F66BF6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－上面的說法是用儒家的說法，而道家、佛教亦有相近的說法。例如，宋代禪師曾說：「曾見郭象注莊子，識者云：</w:t>
      </w:r>
      <w:r w:rsidR="00553587" w:rsidRPr="003D424B">
        <w:rPr>
          <w:rFonts w:hint="eastAsia"/>
          <w:sz w:val="28"/>
          <w:szCs w:val="28"/>
        </w:rPr>
        <w:t>『</w:t>
      </w:r>
      <w:r w:rsidR="00DF05F3" w:rsidRPr="003D424B">
        <w:rPr>
          <w:rFonts w:hint="eastAsia"/>
          <w:sz w:val="28"/>
          <w:szCs w:val="28"/>
        </w:rPr>
        <w:t>卻</w:t>
      </w:r>
      <w:r w:rsidRPr="003D424B">
        <w:rPr>
          <w:rFonts w:hint="eastAsia"/>
          <w:sz w:val="28"/>
          <w:szCs w:val="28"/>
        </w:rPr>
        <w:t>是莊子注郭象。</w:t>
      </w:r>
      <w:r w:rsidR="00553587" w:rsidRPr="003D424B">
        <w:rPr>
          <w:rFonts w:hint="eastAsia"/>
          <w:sz w:val="28"/>
          <w:szCs w:val="28"/>
        </w:rPr>
        <w:t>』</w:t>
      </w:r>
      <w:r w:rsidRPr="003D424B">
        <w:rPr>
          <w:rFonts w:hint="eastAsia"/>
          <w:sz w:val="28"/>
          <w:szCs w:val="28"/>
        </w:rPr>
        <w:t>”（《大慧普覺禪師語錄》卷二十二）」</w:t>
      </w:r>
    </w:p>
    <w:p w:rsidR="003D424B" w:rsidRDefault="00553587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這裏雖針對的是郭象的《莊子注》，但可引伸出其普遍意義，有上述「我注六經、六經注我」的涵義。</w:t>
      </w:r>
    </w:p>
    <w:p w:rsidR="009769E4" w:rsidRPr="003D424B" w:rsidRDefault="00DF63EC" w:rsidP="003D424B">
      <w:pPr>
        <w:pStyle w:val="1"/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關於作者原意問題</w:t>
      </w:r>
    </w:p>
    <w:p w:rsidR="001249F1" w:rsidRPr="003D424B" w:rsidRDefault="001249F1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－上述「我注六經、六經注我」說，對詮釋學觀點有極重要的補足作用。</w:t>
      </w:r>
    </w:p>
    <w:p w:rsidR="009769E4" w:rsidRPr="003D424B" w:rsidRDefault="009769E4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</w:t>
      </w:r>
      <w:r w:rsidR="00DF63EC" w:rsidRPr="003D424B">
        <w:rPr>
          <w:rFonts w:hint="eastAsia"/>
          <w:sz w:val="28"/>
          <w:szCs w:val="28"/>
        </w:rPr>
        <w:t>西</w:t>
      </w:r>
      <w:r w:rsidR="00370EE6" w:rsidRPr="003D424B">
        <w:rPr>
          <w:rFonts w:hint="eastAsia"/>
          <w:sz w:val="28"/>
          <w:szCs w:val="28"/>
        </w:rPr>
        <w:t>方</w:t>
      </w:r>
      <w:r w:rsidRPr="003D424B">
        <w:rPr>
          <w:rFonts w:hint="eastAsia"/>
          <w:sz w:val="28"/>
          <w:szCs w:val="28"/>
        </w:rPr>
        <w:t>詮釋學文本詮釋的模型</w:t>
      </w:r>
      <w:r w:rsidR="00FE4AB3" w:rsidRPr="003D424B">
        <w:rPr>
          <w:rFonts w:hint="eastAsia"/>
          <w:sz w:val="28"/>
          <w:szCs w:val="28"/>
        </w:rPr>
        <w:t>，依伽達默爾等主要詮釋學家觀點，講</w:t>
      </w:r>
      <w:r w:rsidRPr="003D424B">
        <w:rPr>
          <w:rFonts w:hint="eastAsia"/>
          <w:sz w:val="28"/>
          <w:szCs w:val="28"/>
        </w:rPr>
        <w:t>作者與詮釋者的視域融合</w:t>
      </w:r>
      <w:r w:rsidR="00DB3FD9">
        <w:rPr>
          <w:rFonts w:hint="eastAsia"/>
          <w:sz w:val="28"/>
          <w:szCs w:val="28"/>
        </w:rPr>
        <w:t>：</w:t>
      </w:r>
    </w:p>
    <w:p w:rsidR="009769E4" w:rsidRPr="003D424B" w:rsidRDefault="009769E4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／作者的視域</w:t>
      </w:r>
    </w:p>
    <w:p w:rsidR="009769E4" w:rsidRPr="003D424B" w:rsidRDefault="009769E4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＼詮釋者的視域</w:t>
      </w:r>
    </w:p>
    <w:p w:rsidR="009769E4" w:rsidRPr="003D424B" w:rsidRDefault="00FE4AB3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這樣說說明了在實踐上，兩者不能分割開來，∴一義下可說並不存在作者的原意（</w:t>
      </w:r>
      <w:r w:rsidRPr="003D424B">
        <w:rPr>
          <w:rFonts w:hint="eastAsia"/>
          <w:sz w:val="28"/>
          <w:szCs w:val="28"/>
        </w:rPr>
        <w:t>original meaning</w:t>
      </w:r>
      <w:r w:rsidRPr="003D424B">
        <w:rPr>
          <w:rFonts w:hint="eastAsia"/>
          <w:sz w:val="28"/>
          <w:szCs w:val="28"/>
        </w:rPr>
        <w:t>，指完全獨立於詮釋者的文本原來意義），這符合我們的體驗。</w:t>
      </w:r>
    </w:p>
    <w:p w:rsidR="00C72172" w:rsidRPr="003D424B" w:rsidRDefault="00C72172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</w:t>
      </w:r>
      <w:r w:rsidR="00FE4AB3" w:rsidRPr="003D424B">
        <w:rPr>
          <w:rFonts w:hint="eastAsia"/>
          <w:sz w:val="28"/>
          <w:szCs w:val="28"/>
        </w:rPr>
        <w:t>然而，</w:t>
      </w:r>
      <w:r w:rsidRPr="003D424B">
        <w:rPr>
          <w:rFonts w:hint="eastAsia"/>
          <w:sz w:val="28"/>
          <w:szCs w:val="28"/>
        </w:rPr>
        <w:t>依</w:t>
      </w:r>
      <w:r w:rsidR="00C52B63" w:rsidRPr="003D424B">
        <w:rPr>
          <w:rFonts w:hint="eastAsia"/>
          <w:sz w:val="28"/>
          <w:szCs w:val="28"/>
        </w:rPr>
        <w:t>上述「我注六經、六經注我」說的</w:t>
      </w:r>
      <w:r w:rsidR="00FE4AB3" w:rsidRPr="003D424B">
        <w:rPr>
          <w:rFonts w:hint="eastAsia"/>
          <w:sz w:val="28"/>
          <w:szCs w:val="28"/>
        </w:rPr>
        <w:t>中國</w:t>
      </w:r>
      <w:r w:rsidRPr="003D424B">
        <w:rPr>
          <w:rFonts w:hint="eastAsia"/>
          <w:sz w:val="28"/>
          <w:szCs w:val="28"/>
        </w:rPr>
        <w:t>哲學傳統，</w:t>
      </w:r>
      <w:r w:rsidR="0063669D" w:rsidRPr="003D424B">
        <w:rPr>
          <w:rFonts w:hint="eastAsia"/>
          <w:sz w:val="28"/>
          <w:szCs w:val="28"/>
        </w:rPr>
        <w:t>雖然作者與詮釋者視域</w:t>
      </w:r>
      <w:r w:rsidR="00FE4AB3" w:rsidRPr="003D424B">
        <w:rPr>
          <w:rFonts w:hint="eastAsia"/>
          <w:sz w:val="28"/>
          <w:szCs w:val="28"/>
        </w:rPr>
        <w:t>在實踐上</w:t>
      </w:r>
      <w:r w:rsidR="0063669D" w:rsidRPr="003D424B">
        <w:rPr>
          <w:rFonts w:hint="eastAsia"/>
          <w:sz w:val="28"/>
          <w:szCs w:val="28"/>
        </w:rPr>
        <w:t>不能分割，但兩者可有分際意義上的不同。∴雖然可以同意一義下</w:t>
      </w:r>
      <w:r w:rsidR="00C730D8" w:rsidRPr="003D424B">
        <w:rPr>
          <w:rFonts w:hint="eastAsia"/>
          <w:sz w:val="28"/>
          <w:szCs w:val="28"/>
        </w:rPr>
        <w:t>沒有</w:t>
      </w:r>
      <w:r w:rsidR="0063669D" w:rsidRPr="003D424B">
        <w:rPr>
          <w:rFonts w:hint="eastAsia"/>
          <w:sz w:val="28"/>
          <w:szCs w:val="28"/>
        </w:rPr>
        <w:t>作者</w:t>
      </w:r>
      <w:r w:rsidR="00C730D8" w:rsidRPr="003D424B">
        <w:rPr>
          <w:rFonts w:hint="eastAsia"/>
          <w:sz w:val="28"/>
          <w:szCs w:val="28"/>
        </w:rPr>
        <w:t>的</w:t>
      </w:r>
      <w:r w:rsidR="0063669D" w:rsidRPr="003D424B">
        <w:rPr>
          <w:rFonts w:hint="eastAsia"/>
          <w:sz w:val="28"/>
          <w:szCs w:val="28"/>
        </w:rPr>
        <w:t>原意；然而，卻可說存在作者的本義。</w:t>
      </w:r>
      <w:r w:rsidR="00DB3FD9">
        <w:rPr>
          <w:rFonts w:hint="eastAsia"/>
          <w:sz w:val="28"/>
          <w:szCs w:val="28"/>
        </w:rPr>
        <w:t>（象山說「學苟知本」，這個「本」可說是天道（超越地講）、本心</w:t>
      </w:r>
      <w:r w:rsidR="00DB3FD9">
        <w:rPr>
          <w:rFonts w:hint="eastAsia"/>
          <w:sz w:val="28"/>
          <w:szCs w:val="28"/>
        </w:rPr>
        <w:t>（</w:t>
      </w:r>
      <w:r w:rsidR="00DB3FD9">
        <w:rPr>
          <w:rFonts w:hint="eastAsia"/>
          <w:sz w:val="28"/>
          <w:szCs w:val="28"/>
        </w:rPr>
        <w:t>內在</w:t>
      </w:r>
      <w:r w:rsidR="00DB3FD9">
        <w:rPr>
          <w:rFonts w:hint="eastAsia"/>
          <w:sz w:val="28"/>
          <w:szCs w:val="28"/>
        </w:rPr>
        <w:t>地講）</w:t>
      </w:r>
      <w:r w:rsidR="00DB3FD9">
        <w:rPr>
          <w:rFonts w:hint="eastAsia"/>
          <w:sz w:val="28"/>
          <w:szCs w:val="28"/>
        </w:rPr>
        <w:t>的道理，也是作者在文本中要表達的意義。）</w:t>
      </w:r>
    </w:p>
    <w:p w:rsidR="00DF63EC" w:rsidRPr="003D424B" w:rsidRDefault="00DF63EC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本義：與作者原意不同，指作者的視域，不能完全離開詮釋者的視域而獨立存在，但有相對的獨立性。傳統中國文本詮釋著述中有《周易本義》、《毛詩本義》等便有上述本義的意思，</w:t>
      </w:r>
      <w:r w:rsidR="009D2653">
        <w:rPr>
          <w:rFonts w:hint="eastAsia"/>
          <w:sz w:val="28"/>
          <w:szCs w:val="28"/>
        </w:rPr>
        <w:t>雖然本義不</w:t>
      </w:r>
      <w:r w:rsidRPr="003D424B">
        <w:rPr>
          <w:rFonts w:hint="eastAsia"/>
          <w:sz w:val="28"/>
          <w:szCs w:val="28"/>
        </w:rPr>
        <w:t>可以離開詮釋者而獨立存在</w:t>
      </w:r>
      <w:r w:rsidR="00AA557B" w:rsidRPr="003D424B">
        <w:rPr>
          <w:rFonts w:hint="eastAsia"/>
          <w:sz w:val="28"/>
          <w:szCs w:val="28"/>
        </w:rPr>
        <w:t>，但卻</w:t>
      </w:r>
      <w:r w:rsidR="009D2653">
        <w:rPr>
          <w:rFonts w:hint="eastAsia"/>
          <w:sz w:val="28"/>
          <w:szCs w:val="28"/>
        </w:rPr>
        <w:t>仍可領會，∴我們</w:t>
      </w:r>
      <w:r w:rsidR="00AA557B" w:rsidRPr="003D424B">
        <w:rPr>
          <w:rFonts w:hint="eastAsia"/>
          <w:sz w:val="28"/>
          <w:szCs w:val="28"/>
        </w:rPr>
        <w:t>不可以對經典</w:t>
      </w:r>
      <w:r w:rsidR="009D2653">
        <w:rPr>
          <w:rFonts w:hint="eastAsia"/>
          <w:sz w:val="28"/>
          <w:szCs w:val="28"/>
        </w:rPr>
        <w:t>作主觀、武斷的</w:t>
      </w:r>
      <w:r w:rsidR="008133CF">
        <w:rPr>
          <w:rFonts w:hint="eastAsia"/>
          <w:sz w:val="28"/>
          <w:szCs w:val="28"/>
        </w:rPr>
        <w:t>、任意的</w:t>
      </w:r>
      <w:r w:rsidR="00AA557B" w:rsidRPr="003D424B">
        <w:rPr>
          <w:rFonts w:hint="eastAsia"/>
          <w:sz w:val="28"/>
          <w:szCs w:val="28"/>
        </w:rPr>
        <w:t>解釋</w:t>
      </w:r>
      <w:r w:rsidRPr="003D424B">
        <w:rPr>
          <w:rFonts w:hint="eastAsia"/>
          <w:sz w:val="28"/>
          <w:szCs w:val="28"/>
        </w:rPr>
        <w:t>。</w:t>
      </w:r>
    </w:p>
    <w:p w:rsidR="0063669D" w:rsidRPr="003D424B" w:rsidRDefault="00C52B63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－據此可說，「我注六經」與「六經注我」的主要分別：</w:t>
      </w:r>
    </w:p>
    <w:p w:rsidR="00C52B63" w:rsidRPr="003D424B" w:rsidRDefault="00C52B63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／「我注六經」－重詮釋經典的本義</w:t>
      </w:r>
      <w:r w:rsidR="0065057E" w:rsidRPr="003D424B">
        <w:rPr>
          <w:rFonts w:hint="eastAsia"/>
          <w:sz w:val="28"/>
          <w:szCs w:val="28"/>
        </w:rPr>
        <w:t>。</w:t>
      </w:r>
    </w:p>
    <w:p w:rsidR="003D424B" w:rsidRDefault="00C52B63" w:rsidP="003D424B">
      <w:pPr>
        <w:spacing w:line="0" w:lineRule="atLeast"/>
        <w:ind w:leftChars="59" w:left="472" w:hangingChars="118" w:hanging="33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＼「六經注我」－不重詮釋經典的本義，甚至不重經典的詮釋，而重人自己對道德價值的反思與實踐。</w:t>
      </w:r>
    </w:p>
    <w:p w:rsidR="0063669D" w:rsidRPr="003D424B" w:rsidRDefault="0063669D" w:rsidP="003D424B">
      <w:pPr>
        <w:pStyle w:val="1"/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文本詮釋的</w:t>
      </w:r>
      <w:r w:rsidR="0071750A" w:rsidRPr="003D424B">
        <w:rPr>
          <w:rFonts w:hint="eastAsia"/>
          <w:sz w:val="28"/>
          <w:szCs w:val="28"/>
        </w:rPr>
        <w:t>本義與</w:t>
      </w:r>
      <w:r w:rsidR="00B67E46" w:rsidRPr="003D424B">
        <w:rPr>
          <w:rFonts w:hint="eastAsia"/>
          <w:sz w:val="28"/>
          <w:szCs w:val="28"/>
        </w:rPr>
        <w:t>新</w:t>
      </w:r>
      <w:r w:rsidR="0071750A" w:rsidRPr="003D424B">
        <w:rPr>
          <w:rFonts w:hint="eastAsia"/>
          <w:sz w:val="28"/>
          <w:szCs w:val="28"/>
        </w:rPr>
        <w:t>義之別</w:t>
      </w:r>
    </w:p>
    <w:p w:rsidR="0065057E" w:rsidRPr="003D424B" w:rsidRDefault="0065057E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－依上述之說，我們可進一步將文本詮釋類型／型態作出區分。</w:t>
      </w:r>
    </w:p>
    <w:p w:rsidR="009769E4" w:rsidRPr="003D424B" w:rsidRDefault="009769E4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－文本詮釋可區分為</w:t>
      </w:r>
      <w:r w:rsidR="0065057E" w:rsidRPr="003D424B">
        <w:rPr>
          <w:rFonts w:hint="eastAsia"/>
          <w:sz w:val="28"/>
          <w:szCs w:val="28"/>
        </w:rPr>
        <w:t>主要兩</w:t>
      </w:r>
      <w:r w:rsidRPr="003D424B">
        <w:rPr>
          <w:rFonts w:hint="eastAsia"/>
          <w:sz w:val="28"/>
          <w:szCs w:val="28"/>
        </w:rPr>
        <w:t>種型態：</w:t>
      </w:r>
    </w:p>
    <w:p w:rsidR="009769E4" w:rsidRPr="003D424B" w:rsidRDefault="009769E4" w:rsidP="003D424B">
      <w:pPr>
        <w:spacing w:line="0" w:lineRule="atLeast"/>
        <w:ind w:left="1701" w:hanging="1521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／考據訓詁型－通過詮釋文本的語言來把握作者想表述的本來或根本的意思（可稱為</w:t>
      </w:r>
      <w:r w:rsidR="00F657A2">
        <w:rPr>
          <w:rFonts w:hint="eastAsia"/>
          <w:sz w:val="28"/>
          <w:szCs w:val="28"/>
        </w:rPr>
        <w:t>「</w:t>
      </w:r>
      <w:r w:rsidRPr="003D424B">
        <w:rPr>
          <w:rFonts w:hint="eastAsia"/>
          <w:sz w:val="28"/>
          <w:szCs w:val="28"/>
        </w:rPr>
        <w:t>本義</w:t>
      </w:r>
      <w:r w:rsidR="00F657A2">
        <w:rPr>
          <w:rFonts w:hint="eastAsia"/>
          <w:sz w:val="28"/>
          <w:szCs w:val="28"/>
        </w:rPr>
        <w:t>」，若是年代久遠的經典，可稱為「古義」</w:t>
      </w:r>
      <w:r w:rsidRPr="003D424B">
        <w:rPr>
          <w:rFonts w:hint="eastAsia"/>
          <w:sz w:val="28"/>
          <w:szCs w:val="28"/>
        </w:rPr>
        <w:t>）為主，作者的生平背景為輔，主要是語言學及歷史學的工作</w:t>
      </w:r>
      <w:r w:rsidRPr="003D424B">
        <w:rPr>
          <w:rFonts w:ascii="新細明體" w:hAnsi="新細明體" w:hint="eastAsia"/>
          <w:sz w:val="28"/>
          <w:szCs w:val="28"/>
        </w:rPr>
        <w:t>。</w:t>
      </w:r>
      <w:r w:rsidR="004322BE" w:rsidRPr="003D424B">
        <w:rPr>
          <w:rFonts w:ascii="新細明體" w:hAnsi="新細明體"/>
          <w:sz w:val="28"/>
          <w:szCs w:val="28"/>
        </w:rPr>
        <w:t>E.g.</w:t>
      </w:r>
      <w:r w:rsidR="004322BE" w:rsidRPr="003D424B">
        <w:rPr>
          <w:rFonts w:ascii="新細明體" w:hAnsi="新細明體" w:hint="eastAsia"/>
          <w:sz w:val="28"/>
          <w:szCs w:val="28"/>
        </w:rPr>
        <w:t>漢代與清代的經學詮釋</w:t>
      </w:r>
    </w:p>
    <w:p w:rsidR="009769E4" w:rsidRPr="003D424B" w:rsidRDefault="009769E4" w:rsidP="003D424B">
      <w:pPr>
        <w:spacing w:line="0" w:lineRule="atLeast"/>
        <w:ind w:left="18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＼哲學義理型</w:t>
      </w:r>
    </w:p>
    <w:p w:rsidR="009769E4" w:rsidRPr="003D424B" w:rsidRDefault="009769E4" w:rsidP="003D424B">
      <w:pPr>
        <w:spacing w:line="0" w:lineRule="atLeast"/>
        <w:ind w:left="2552" w:hanging="213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／返本型或保守型－通過詮釋文本的義理來把握作者想表述的本來或根本的意思</w:t>
      </w:r>
      <w:r w:rsidR="007B1EAA">
        <w:rPr>
          <w:rFonts w:hint="eastAsia"/>
          <w:sz w:val="28"/>
          <w:szCs w:val="28"/>
        </w:rPr>
        <w:t>（即本義）</w:t>
      </w:r>
      <w:r w:rsidRPr="003D424B">
        <w:rPr>
          <w:rFonts w:hint="eastAsia"/>
          <w:sz w:val="28"/>
          <w:szCs w:val="28"/>
        </w:rPr>
        <w:t>為主；這是哲學史家的研究工作</w:t>
      </w:r>
      <w:r w:rsidRPr="003D424B">
        <w:rPr>
          <w:rFonts w:ascii="新細明體" w:hAnsi="新細明體" w:hint="eastAsia"/>
          <w:sz w:val="28"/>
          <w:szCs w:val="28"/>
        </w:rPr>
        <w:t>。</w:t>
      </w:r>
      <w:r w:rsidR="00774C98" w:rsidRPr="003D424B">
        <w:rPr>
          <w:rFonts w:ascii="新細明體" w:hAnsi="新細明體"/>
          <w:sz w:val="28"/>
          <w:szCs w:val="28"/>
        </w:rPr>
        <w:t>E.g.</w:t>
      </w:r>
      <w:r w:rsidR="00283F9D" w:rsidRPr="00283F9D">
        <w:rPr>
          <w:rFonts w:ascii="新細明體" w:hAnsi="新細明體" w:hint="eastAsia"/>
          <w:sz w:val="28"/>
          <w:szCs w:val="28"/>
        </w:rPr>
        <w:t>黄梨洲</w:t>
      </w:r>
      <w:r w:rsidR="00283F9D">
        <w:rPr>
          <w:rFonts w:ascii="新細明體" w:hAnsi="新細明體" w:hint="eastAsia"/>
          <w:sz w:val="28"/>
          <w:szCs w:val="28"/>
        </w:rPr>
        <w:t>《宋元學案》、《明儒學案》</w:t>
      </w:r>
    </w:p>
    <w:p w:rsidR="004322BE" w:rsidRPr="003D424B" w:rsidRDefault="009769E4" w:rsidP="00474993">
      <w:pPr>
        <w:spacing w:line="0" w:lineRule="atLeast"/>
        <w:ind w:left="2552" w:hanging="213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＼開新型或進取型－通過詮釋文本的義理來把握文本蘊涵的意思為主</w:t>
      </w:r>
      <w:r w:rsidR="007B1EAA">
        <w:rPr>
          <w:rFonts w:hint="eastAsia"/>
          <w:sz w:val="28"/>
          <w:szCs w:val="28"/>
        </w:rPr>
        <w:t>（可稱為「新義」</w:t>
      </w:r>
      <w:r w:rsidR="00B96745">
        <w:rPr>
          <w:rFonts w:hint="eastAsia"/>
          <w:sz w:val="28"/>
          <w:szCs w:val="28"/>
        </w:rPr>
        <w:t>，∵與起碼與本義的字面意思不同</w:t>
      </w:r>
      <w:r w:rsidR="009C01E5">
        <w:rPr>
          <w:rFonts w:hint="eastAsia"/>
          <w:sz w:val="28"/>
          <w:szCs w:val="28"/>
        </w:rPr>
        <w:t>；相對於</w:t>
      </w:r>
      <w:r w:rsidR="009C01E5">
        <w:rPr>
          <w:rFonts w:hint="eastAsia"/>
          <w:sz w:val="28"/>
          <w:szCs w:val="28"/>
        </w:rPr>
        <w:t>年代久遠的經典，可稱為「</w:t>
      </w:r>
      <w:r w:rsidR="009C01E5">
        <w:rPr>
          <w:rFonts w:hint="eastAsia"/>
          <w:sz w:val="28"/>
          <w:szCs w:val="28"/>
        </w:rPr>
        <w:t>今</w:t>
      </w:r>
      <w:r w:rsidR="009C01E5">
        <w:rPr>
          <w:rFonts w:hint="eastAsia"/>
          <w:sz w:val="28"/>
          <w:szCs w:val="28"/>
        </w:rPr>
        <w:t>義」</w:t>
      </w:r>
      <w:r w:rsidR="007B1EAA">
        <w:rPr>
          <w:rFonts w:hint="eastAsia"/>
          <w:sz w:val="28"/>
          <w:szCs w:val="28"/>
        </w:rPr>
        <w:t>）</w:t>
      </w:r>
      <w:r w:rsidRPr="003D424B">
        <w:rPr>
          <w:rFonts w:hint="eastAsia"/>
          <w:sz w:val="28"/>
          <w:szCs w:val="28"/>
        </w:rPr>
        <w:t>；這是哲學理論家的研究工作</w:t>
      </w:r>
      <w:r w:rsidRPr="003D424B">
        <w:rPr>
          <w:rFonts w:ascii="新細明體" w:hAnsi="新細明體" w:hint="eastAsia"/>
          <w:sz w:val="28"/>
          <w:szCs w:val="28"/>
        </w:rPr>
        <w:t>。</w:t>
      </w:r>
      <w:r w:rsidR="004322BE" w:rsidRPr="003D424B">
        <w:rPr>
          <w:rFonts w:ascii="新細明體" w:hAnsi="新細明體"/>
          <w:sz w:val="28"/>
          <w:szCs w:val="28"/>
        </w:rPr>
        <w:t>E.g.</w:t>
      </w:r>
      <w:r w:rsidR="004322BE" w:rsidRPr="003D424B">
        <w:rPr>
          <w:rFonts w:ascii="新細明體" w:hAnsi="新細明體" w:hint="eastAsia"/>
          <w:sz w:val="28"/>
          <w:szCs w:val="28"/>
        </w:rPr>
        <w:t>宋明時代的經學詮釋</w:t>
      </w:r>
    </w:p>
    <w:p w:rsidR="009769E4" w:rsidRPr="003D424B" w:rsidRDefault="009769E4" w:rsidP="003D424B">
      <w:pPr>
        <w:spacing w:line="0" w:lineRule="atLeast"/>
        <w:ind w:leftChars="59" w:left="14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當中，也可以有混合型態，即結合考據訓詁及哲學義理</w:t>
      </w:r>
      <w:r w:rsidR="00F657A2">
        <w:rPr>
          <w:rFonts w:hint="eastAsia"/>
          <w:sz w:val="28"/>
          <w:szCs w:val="28"/>
        </w:rPr>
        <w:t>（包括</w:t>
      </w:r>
      <w:r w:rsidRPr="003D424B">
        <w:rPr>
          <w:rFonts w:hint="eastAsia"/>
          <w:sz w:val="28"/>
          <w:szCs w:val="28"/>
        </w:rPr>
        <w:t>返本型與開新型</w:t>
      </w:r>
      <w:r w:rsidR="00F657A2">
        <w:rPr>
          <w:rFonts w:hint="eastAsia"/>
          <w:sz w:val="28"/>
          <w:szCs w:val="28"/>
        </w:rPr>
        <w:t>）</w:t>
      </w:r>
      <w:r w:rsidRPr="003D424B">
        <w:rPr>
          <w:rFonts w:hint="eastAsia"/>
          <w:sz w:val="28"/>
          <w:szCs w:val="28"/>
        </w:rPr>
        <w:t>。</w:t>
      </w:r>
      <w:r w:rsidR="00131103" w:rsidRPr="003D424B">
        <w:rPr>
          <w:rFonts w:ascii="新細明體" w:hAnsi="新細明體"/>
          <w:sz w:val="28"/>
          <w:szCs w:val="28"/>
        </w:rPr>
        <w:t>E.g.</w:t>
      </w:r>
      <w:r w:rsidR="00131103" w:rsidRPr="003D424B">
        <w:rPr>
          <w:rFonts w:ascii="新細明體" w:hAnsi="新細明體" w:hint="eastAsia"/>
          <w:sz w:val="28"/>
          <w:szCs w:val="28"/>
        </w:rPr>
        <w:t>朱子的經典詮釋可說集漢學與宋學的大成</w:t>
      </w:r>
      <w:r w:rsidR="00F657A2">
        <w:rPr>
          <w:rFonts w:ascii="新細明體" w:hAnsi="新細明體" w:hint="eastAsia"/>
          <w:sz w:val="28"/>
          <w:szCs w:val="28"/>
        </w:rPr>
        <w:t>。</w:t>
      </w:r>
    </w:p>
    <w:p w:rsidR="00B51E69" w:rsidRPr="003D424B" w:rsidRDefault="00B51E69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－哲學義理返本型亦如考據訓詁型，主要是探究作者本義，可說是側重作者視域</w:t>
      </w:r>
      <w:r w:rsidR="00492B81" w:rsidRPr="003D424B">
        <w:rPr>
          <w:rFonts w:hint="eastAsia"/>
          <w:sz w:val="28"/>
          <w:szCs w:val="28"/>
        </w:rPr>
        <w:t>方面</w:t>
      </w:r>
      <w:r w:rsidRPr="003D424B">
        <w:rPr>
          <w:rFonts w:hint="eastAsia"/>
          <w:sz w:val="28"/>
          <w:szCs w:val="28"/>
        </w:rPr>
        <w:t>；而哲學義理開新型，則主要是發揮作者本義而</w:t>
      </w:r>
      <w:r w:rsidR="00492B81" w:rsidRPr="003D424B">
        <w:rPr>
          <w:rFonts w:hint="eastAsia"/>
          <w:sz w:val="28"/>
          <w:szCs w:val="28"/>
        </w:rPr>
        <w:t>開出詮釋者自己的意義</w:t>
      </w:r>
      <w:r w:rsidRPr="003D424B">
        <w:rPr>
          <w:rFonts w:hint="eastAsia"/>
          <w:sz w:val="28"/>
          <w:szCs w:val="28"/>
        </w:rPr>
        <w:t>，</w:t>
      </w:r>
      <w:r w:rsidR="003F2FD7">
        <w:rPr>
          <w:rFonts w:hint="eastAsia"/>
          <w:sz w:val="28"/>
          <w:szCs w:val="28"/>
        </w:rPr>
        <w:t>即</w:t>
      </w:r>
      <w:r w:rsidRPr="003D424B">
        <w:rPr>
          <w:rFonts w:hint="eastAsia"/>
          <w:sz w:val="28"/>
          <w:szCs w:val="28"/>
        </w:rPr>
        <w:t>新義</w:t>
      </w:r>
      <w:r w:rsidR="00492B81" w:rsidRPr="003D424B">
        <w:rPr>
          <w:rFonts w:hint="eastAsia"/>
          <w:sz w:val="28"/>
          <w:szCs w:val="28"/>
        </w:rPr>
        <w:t>，側重詮釋者視域方面。</w:t>
      </w:r>
    </w:p>
    <w:p w:rsidR="00B51E69" w:rsidRPr="003D424B" w:rsidRDefault="00B51E69" w:rsidP="003D424B">
      <w:pPr>
        <w:spacing w:line="0" w:lineRule="atLeast"/>
        <w:ind w:leftChars="43" w:left="313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新義可進一步區分為：</w:t>
      </w:r>
    </w:p>
    <w:p w:rsidR="00B51E69" w:rsidRPr="003D424B" w:rsidRDefault="00B51E69" w:rsidP="003D424B">
      <w:pPr>
        <w:spacing w:line="0" w:lineRule="atLeast"/>
        <w:ind w:leftChars="43" w:left="1425" w:hangingChars="472" w:hanging="132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／轉化義－用一般的、已有的觀念補充說明或開拓作者所蘊涵而未及之義。</w:t>
      </w:r>
      <w:r w:rsidRPr="003D424B">
        <w:rPr>
          <w:sz w:val="28"/>
          <w:szCs w:val="28"/>
        </w:rPr>
        <w:t>E</w:t>
      </w:r>
      <w:r w:rsidRPr="003D424B">
        <w:rPr>
          <w:rFonts w:hint="eastAsia"/>
          <w:sz w:val="28"/>
          <w:szCs w:val="28"/>
        </w:rPr>
        <w:t>.g.</w:t>
      </w:r>
      <w:r w:rsidR="0065057E" w:rsidRPr="003D424B">
        <w:rPr>
          <w:rFonts w:hint="eastAsia"/>
          <w:sz w:val="28"/>
          <w:szCs w:val="28"/>
        </w:rPr>
        <w:t>郭象注莊時</w:t>
      </w:r>
      <w:r w:rsidRPr="003D424B">
        <w:rPr>
          <w:rFonts w:hint="eastAsia"/>
          <w:sz w:val="28"/>
          <w:szCs w:val="28"/>
        </w:rPr>
        <w:t>講的逍遙義、齊物義及天籟義等。</w:t>
      </w:r>
      <w:r w:rsidR="0065057E" w:rsidRPr="003D424B">
        <w:rPr>
          <w:rFonts w:hint="eastAsia"/>
          <w:sz w:val="28"/>
          <w:szCs w:val="28"/>
        </w:rPr>
        <w:t>如逍遙義：「小大雖殊，逍遙一也」。</w:t>
      </w:r>
    </w:p>
    <w:p w:rsidR="00B51E69" w:rsidRPr="003D424B" w:rsidRDefault="00B51E69" w:rsidP="003D424B">
      <w:pPr>
        <w:spacing w:line="0" w:lineRule="atLeast"/>
        <w:ind w:leftChars="43" w:left="1425" w:hangingChars="472" w:hanging="1322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＼創造義－用詮釋者自己新建立的新觀念充說明或開拓作者所蘊涵而未及之義。</w:t>
      </w:r>
      <w:r w:rsidR="00297816" w:rsidRPr="003D424B">
        <w:rPr>
          <w:sz w:val="28"/>
          <w:szCs w:val="28"/>
        </w:rPr>
        <w:t>E.g.</w:t>
      </w:r>
      <w:r w:rsidRPr="003D424B">
        <w:rPr>
          <w:rFonts w:hint="eastAsia"/>
          <w:sz w:val="28"/>
          <w:szCs w:val="28"/>
        </w:rPr>
        <w:t>郭象在注釋〈逍遙遊〉及〈齊物論〉兩篇時所建立的新觀念──主要為</w:t>
      </w:r>
      <w:r w:rsidR="0065057E" w:rsidRPr="003D424B">
        <w:rPr>
          <w:rFonts w:hint="eastAsia"/>
          <w:sz w:val="28"/>
          <w:szCs w:val="28"/>
        </w:rPr>
        <w:t>「</w:t>
      </w:r>
      <w:r w:rsidRPr="003D424B">
        <w:rPr>
          <w:rFonts w:hint="eastAsia"/>
          <w:sz w:val="28"/>
          <w:szCs w:val="28"/>
        </w:rPr>
        <w:t>適性</w:t>
      </w:r>
      <w:r w:rsidR="0065057E" w:rsidRPr="003D424B">
        <w:rPr>
          <w:rFonts w:hint="eastAsia"/>
          <w:sz w:val="28"/>
          <w:szCs w:val="28"/>
        </w:rPr>
        <w:t>」</w:t>
      </w:r>
      <w:r w:rsidRPr="003D424B">
        <w:rPr>
          <w:rFonts w:hint="eastAsia"/>
          <w:sz w:val="28"/>
          <w:szCs w:val="28"/>
        </w:rPr>
        <w:t>與</w:t>
      </w:r>
      <w:r w:rsidR="0065057E" w:rsidRPr="003D424B">
        <w:rPr>
          <w:rFonts w:hint="eastAsia"/>
          <w:sz w:val="28"/>
          <w:szCs w:val="28"/>
        </w:rPr>
        <w:t>「</w:t>
      </w:r>
      <w:r w:rsidRPr="003D424B">
        <w:rPr>
          <w:rFonts w:hint="eastAsia"/>
          <w:sz w:val="28"/>
          <w:szCs w:val="28"/>
        </w:rPr>
        <w:t>獨化</w:t>
      </w:r>
      <w:r w:rsidR="0065057E" w:rsidRPr="003D424B">
        <w:rPr>
          <w:rFonts w:hint="eastAsia"/>
          <w:sz w:val="28"/>
          <w:szCs w:val="28"/>
        </w:rPr>
        <w:t>」</w:t>
      </w:r>
      <w:r w:rsidRPr="003D424B">
        <w:rPr>
          <w:rFonts w:hint="eastAsia"/>
          <w:sz w:val="28"/>
          <w:szCs w:val="28"/>
        </w:rPr>
        <w:t>二觀念。</w:t>
      </w:r>
    </w:p>
    <w:p w:rsidR="009769E4" w:rsidRPr="003D424B" w:rsidRDefault="009769E4" w:rsidP="003D424B">
      <w:pPr>
        <w:spacing w:line="0" w:lineRule="atLeast"/>
        <w:ind w:left="210" w:hangingChars="75" w:hanging="210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－注意：任何好的或真正的詮釋不能是與文本的</w:t>
      </w:r>
      <w:r w:rsidR="00022769">
        <w:rPr>
          <w:rFonts w:hint="eastAsia"/>
          <w:sz w:val="28"/>
          <w:szCs w:val="28"/>
        </w:rPr>
        <w:t>本義</w:t>
      </w:r>
      <w:r w:rsidRPr="003D424B">
        <w:rPr>
          <w:rFonts w:hint="eastAsia"/>
          <w:sz w:val="28"/>
          <w:szCs w:val="28"/>
        </w:rPr>
        <w:t>相反者，∵若相反，則其義理等同否定了作者的視域，只是單憑己意而任意詮釋，在詮釋文本上沒有價值。至於詮釋者本身所表述的自己的觀點，即使有價值，也並非詮釋文本上的價值。</w:t>
      </w:r>
    </w:p>
    <w:p w:rsidR="009769E4" w:rsidRPr="003D424B" w:rsidRDefault="009769E4" w:rsidP="003D424B">
      <w:pPr>
        <w:spacing w:line="0" w:lineRule="atLeast"/>
        <w:ind w:leftChars="59" w:left="142"/>
        <w:rPr>
          <w:b/>
          <w:sz w:val="28"/>
          <w:szCs w:val="28"/>
        </w:rPr>
      </w:pPr>
      <w:r w:rsidRPr="003D424B">
        <w:rPr>
          <w:rFonts w:hint="eastAsia"/>
          <w:sz w:val="28"/>
          <w:szCs w:val="28"/>
        </w:rPr>
        <w:t>→講者不同意劉笑敢先生在其所著《詮釋與定向》一書將詮釋學理論分為同向性／文本性詮釋與逆向性／表現性詮釋兩種，後者指與文本本義相反的詮釋，若如此，則後一種詮釋就不是</w:t>
      </w:r>
      <w:r w:rsidR="00AC4EEB">
        <w:rPr>
          <w:rFonts w:hint="eastAsia"/>
          <w:sz w:val="28"/>
          <w:szCs w:val="28"/>
        </w:rPr>
        <w:t>好</w:t>
      </w:r>
      <w:r w:rsidRPr="003D424B">
        <w:rPr>
          <w:rFonts w:hint="eastAsia"/>
          <w:sz w:val="28"/>
          <w:szCs w:val="28"/>
        </w:rPr>
        <w:t>的或真正的詮釋了。</w:t>
      </w:r>
      <w:r w:rsidR="00AC4EEB">
        <w:rPr>
          <w:sz w:val="28"/>
          <w:szCs w:val="28"/>
        </w:rPr>
        <w:t>E.g.</w:t>
      </w:r>
      <w:r w:rsidRPr="003D424B">
        <w:rPr>
          <w:rFonts w:hint="eastAsia"/>
          <w:sz w:val="28"/>
          <w:szCs w:val="28"/>
        </w:rPr>
        <w:t>劉先生說郭象《莊子注》有違《莊子》本義，講者也不敢苟同。</w:t>
      </w:r>
    </w:p>
    <w:p w:rsidR="003D424B" w:rsidRDefault="009769E4" w:rsidP="003D424B">
      <w:pPr>
        <w:spacing w:line="0" w:lineRule="atLeast"/>
        <w:ind w:left="210" w:hangingChars="75" w:hanging="210"/>
        <w:rPr>
          <w:sz w:val="28"/>
          <w:szCs w:val="28"/>
          <w:lang w:eastAsia="zh-HK"/>
        </w:rPr>
      </w:pPr>
      <w:r w:rsidRPr="003D424B">
        <w:rPr>
          <w:rFonts w:hint="eastAsia"/>
          <w:sz w:val="28"/>
          <w:szCs w:val="28"/>
        </w:rPr>
        <w:t>－郭象的《莊子注》，是開新型的哲學義理詮釋。∴表面上他的注釋中有與莊子不同的理解，但這不同只是文字上或表面上的不同，義理上或實際上還是相同的。</w:t>
      </w:r>
      <w:r w:rsidRPr="003D424B">
        <w:rPr>
          <w:sz w:val="28"/>
          <w:szCs w:val="28"/>
        </w:rPr>
        <w:t>E</w:t>
      </w:r>
      <w:r w:rsidRPr="003D424B">
        <w:rPr>
          <w:rFonts w:hint="eastAsia"/>
          <w:sz w:val="28"/>
          <w:szCs w:val="28"/>
        </w:rPr>
        <w:t>.g.</w:t>
      </w:r>
      <w:r w:rsidRPr="003D424B">
        <w:rPr>
          <w:rFonts w:hint="eastAsia"/>
          <w:sz w:val="28"/>
          <w:szCs w:val="28"/>
        </w:rPr>
        <w:t>〈逍遙遊〉中說「小大雖殊，逍遙一也」，文字上或表面上與《莊子》的本義不同，但義理上或實際上還是相同的。∵莊子也應同意若人在精神上做到自由自在、獨立自足，則形體上大小的差異是不妨碍的。</w:t>
      </w:r>
    </w:p>
    <w:p w:rsidR="00F7649C" w:rsidRPr="003D424B" w:rsidRDefault="00FA39AA" w:rsidP="003D424B">
      <w:pPr>
        <w:pStyle w:val="1"/>
        <w:spacing w:line="0" w:lineRule="atLeast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經典正義問題</w:t>
      </w:r>
    </w:p>
    <w:p w:rsidR="000C75EC" w:rsidRPr="003D424B" w:rsidRDefault="000C75EC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－這裏是接著上面進一步講。</w:t>
      </w:r>
    </w:p>
    <w:p w:rsidR="006319E4" w:rsidRPr="003D424B" w:rsidRDefault="00FA39AA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－∵無論返本型或哲學義理型開新型，最後都必須符合作者視域（本義），∴詮釋也有正確與否的問題。</w:t>
      </w:r>
    </w:p>
    <w:p w:rsidR="00DC6C51" w:rsidRPr="003D424B" w:rsidRDefault="00FA39AA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</w:t>
      </w:r>
      <w:r w:rsidR="0047014F" w:rsidRPr="003D424B">
        <w:rPr>
          <w:rFonts w:hint="eastAsia"/>
          <w:sz w:val="28"/>
          <w:szCs w:val="28"/>
        </w:rPr>
        <w:t>∴</w:t>
      </w:r>
      <w:r w:rsidRPr="003D424B">
        <w:rPr>
          <w:rFonts w:hint="eastAsia"/>
          <w:sz w:val="28"/>
          <w:szCs w:val="28"/>
        </w:rPr>
        <w:t>傳統中國文本詮釋著述中有《周易正義》，以及《毛詩正義》等</w:t>
      </w:r>
      <w:r w:rsidR="0047014F" w:rsidRPr="003D424B">
        <w:rPr>
          <w:rFonts w:hint="eastAsia"/>
          <w:sz w:val="28"/>
          <w:szCs w:val="28"/>
        </w:rPr>
        <w:t>，強調的不是本義或新義，而是其詮釋是否有違作者的視域。若是，則並非正確的詮釋，不能稱為「正義」。</w:t>
      </w:r>
    </w:p>
    <w:p w:rsidR="0047014F" w:rsidRPr="003D424B" w:rsidRDefault="0047014F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－這種說法較一些</w:t>
      </w:r>
      <w:r w:rsidR="009D227F">
        <w:rPr>
          <w:rFonts w:hint="eastAsia"/>
          <w:sz w:val="28"/>
          <w:szCs w:val="28"/>
        </w:rPr>
        <w:t>只講沒有</w:t>
      </w:r>
      <w:r w:rsidRPr="003D424B">
        <w:rPr>
          <w:rFonts w:hint="eastAsia"/>
          <w:sz w:val="28"/>
          <w:szCs w:val="28"/>
        </w:rPr>
        <w:t>作者原意，或者只</w:t>
      </w:r>
      <w:r w:rsidR="009D227F">
        <w:rPr>
          <w:rFonts w:hint="eastAsia"/>
          <w:sz w:val="28"/>
          <w:szCs w:val="28"/>
        </w:rPr>
        <w:t>講</w:t>
      </w:r>
      <w:r w:rsidRPr="003D424B">
        <w:rPr>
          <w:rFonts w:hint="eastAsia"/>
          <w:sz w:val="28"/>
          <w:szCs w:val="28"/>
        </w:rPr>
        <w:t>作者視域與詮釋者視域不能分割合理，</w:t>
      </w:r>
      <w:r w:rsidR="009D227F">
        <w:rPr>
          <w:rFonts w:hint="eastAsia"/>
          <w:sz w:val="28"/>
          <w:szCs w:val="28"/>
        </w:rPr>
        <w:t>∵</w:t>
      </w:r>
      <w:r w:rsidRPr="003D424B">
        <w:rPr>
          <w:rFonts w:hint="eastAsia"/>
          <w:sz w:val="28"/>
          <w:szCs w:val="28"/>
        </w:rPr>
        <w:t>避免了主觀武斷地詮釋文本的毛病。</w:t>
      </w:r>
    </w:p>
    <w:p w:rsidR="0047014F" w:rsidRPr="003D424B" w:rsidRDefault="0047014F" w:rsidP="003D424B">
      <w:pPr>
        <w:spacing w:line="0" w:lineRule="atLeast"/>
        <w:ind w:left="165" w:hangingChars="59" w:hanging="165"/>
        <w:rPr>
          <w:sz w:val="28"/>
          <w:szCs w:val="28"/>
        </w:rPr>
      </w:pPr>
      <w:r w:rsidRPr="003D424B">
        <w:rPr>
          <w:rFonts w:hint="eastAsia"/>
          <w:sz w:val="28"/>
          <w:szCs w:val="28"/>
        </w:rPr>
        <w:t>－這種說法，在</w:t>
      </w:r>
      <w:r w:rsidR="00031A6C" w:rsidRPr="003D424B">
        <w:rPr>
          <w:rFonts w:hint="eastAsia"/>
          <w:sz w:val="28"/>
          <w:szCs w:val="28"/>
        </w:rPr>
        <w:t>現</w:t>
      </w:r>
      <w:r w:rsidRPr="003D424B">
        <w:rPr>
          <w:rFonts w:hint="eastAsia"/>
          <w:sz w:val="28"/>
          <w:szCs w:val="28"/>
        </w:rPr>
        <w:t>西方其實也有相類的觀點，如意大利符號學教授和小說家艾柯</w:t>
      </w:r>
      <w:r w:rsidRPr="003D424B">
        <w:rPr>
          <w:rFonts w:hint="eastAsia"/>
          <w:sz w:val="28"/>
          <w:szCs w:val="28"/>
        </w:rPr>
        <w:t>(Umberto Eco)</w:t>
      </w:r>
      <w:r w:rsidRPr="003D424B">
        <w:rPr>
          <w:rFonts w:hint="eastAsia"/>
          <w:sz w:val="28"/>
          <w:szCs w:val="28"/>
        </w:rPr>
        <w:t>原初受</w:t>
      </w:r>
      <w:r w:rsidR="00AE53B1" w:rsidRPr="003D424B">
        <w:rPr>
          <w:rFonts w:hint="eastAsia"/>
          <w:sz w:val="28"/>
          <w:szCs w:val="28"/>
        </w:rPr>
        <w:t>伽達默爾等人的</w:t>
      </w:r>
      <w:r w:rsidRPr="003D424B">
        <w:rPr>
          <w:rFonts w:hint="eastAsia"/>
          <w:sz w:val="28"/>
          <w:szCs w:val="28"/>
        </w:rPr>
        <w:t>詮釋學</w:t>
      </w:r>
      <w:r w:rsidR="00AE53B1" w:rsidRPr="003D424B">
        <w:rPr>
          <w:rFonts w:hint="eastAsia"/>
          <w:sz w:val="28"/>
          <w:szCs w:val="28"/>
        </w:rPr>
        <w:t>觀點</w:t>
      </w:r>
      <w:r w:rsidRPr="003D424B">
        <w:rPr>
          <w:rFonts w:hint="eastAsia"/>
          <w:sz w:val="28"/>
          <w:szCs w:val="28"/>
        </w:rPr>
        <w:t>影響，以為無所依傍、自由自在地闡述文學的文本意義</w:t>
      </w:r>
      <w:r w:rsidR="000031DB" w:rsidRPr="003D424B">
        <w:rPr>
          <w:rFonts w:hint="eastAsia"/>
          <w:sz w:val="28"/>
          <w:szCs w:val="28"/>
        </w:rPr>
        <w:t>是文學批評家的主要任務。後來，他</w:t>
      </w:r>
      <w:r w:rsidR="007652F6">
        <w:rPr>
          <w:rFonts w:hint="eastAsia"/>
          <w:sz w:val="28"/>
          <w:szCs w:val="28"/>
        </w:rPr>
        <w:t>對</w:t>
      </w:r>
      <w:r w:rsidR="000031DB" w:rsidRPr="003D424B">
        <w:rPr>
          <w:rFonts w:hint="eastAsia"/>
          <w:sz w:val="28"/>
          <w:szCs w:val="28"/>
        </w:rPr>
        <w:t>美國</w:t>
      </w:r>
      <w:r w:rsidR="007652F6">
        <w:rPr>
          <w:rFonts w:hint="eastAsia"/>
          <w:sz w:val="28"/>
          <w:szCs w:val="28"/>
        </w:rPr>
        <w:t>文學</w:t>
      </w:r>
      <w:bookmarkStart w:id="0" w:name="_GoBack"/>
      <w:bookmarkEnd w:id="0"/>
      <w:r w:rsidR="000031DB" w:rsidRPr="003D424B">
        <w:rPr>
          <w:rFonts w:hint="eastAsia"/>
          <w:sz w:val="28"/>
          <w:szCs w:val="28"/>
        </w:rPr>
        <w:t>批評思潮的一些</w:t>
      </w:r>
      <w:r w:rsidR="007652F6">
        <w:rPr>
          <w:rFonts w:hint="eastAsia"/>
          <w:sz w:val="28"/>
          <w:szCs w:val="28"/>
        </w:rPr>
        <w:t>依</w:t>
      </w:r>
      <w:r w:rsidR="000031DB" w:rsidRPr="003D424B">
        <w:rPr>
          <w:rFonts w:hint="eastAsia"/>
          <w:sz w:val="28"/>
          <w:szCs w:val="28"/>
        </w:rPr>
        <w:t>極端觀念</w:t>
      </w:r>
      <w:r w:rsidR="007652F6">
        <w:rPr>
          <w:rFonts w:hint="eastAsia"/>
          <w:sz w:val="28"/>
          <w:szCs w:val="28"/>
        </w:rPr>
        <w:t>而建立</w:t>
      </w:r>
      <w:r w:rsidR="000031DB" w:rsidRPr="003D424B">
        <w:rPr>
          <w:rFonts w:hint="eastAsia"/>
          <w:sz w:val="28"/>
          <w:szCs w:val="28"/>
        </w:rPr>
        <w:t>的批評方法表示</w:t>
      </w:r>
      <w:r w:rsidR="007652F6">
        <w:rPr>
          <w:rFonts w:hint="eastAsia"/>
          <w:sz w:val="28"/>
          <w:szCs w:val="28"/>
        </w:rPr>
        <w:t>很大的</w:t>
      </w:r>
      <w:r w:rsidR="000031DB" w:rsidRPr="003D424B">
        <w:rPr>
          <w:rFonts w:hint="eastAsia"/>
          <w:sz w:val="28"/>
          <w:szCs w:val="28"/>
        </w:rPr>
        <w:t>懷疑和憂慮，轉而主張文本詮釋的範圍須加限定，將某些在範圍以外的詮釋確認為「過度詮釋」</w:t>
      </w:r>
      <w:r w:rsidR="000031DB" w:rsidRPr="003D424B">
        <w:rPr>
          <w:rFonts w:hint="eastAsia"/>
          <w:sz w:val="28"/>
          <w:szCs w:val="28"/>
        </w:rPr>
        <w:t>(over interpretation)</w:t>
      </w:r>
      <w:r w:rsidR="000031DB" w:rsidRPr="003D424B">
        <w:rPr>
          <w:rFonts w:hint="eastAsia"/>
          <w:sz w:val="28"/>
          <w:szCs w:val="28"/>
        </w:rPr>
        <w:t>。</w:t>
      </w:r>
      <w:r w:rsidR="0029429A" w:rsidRPr="003D424B">
        <w:rPr>
          <w:rFonts w:hint="eastAsia"/>
          <w:sz w:val="28"/>
          <w:szCs w:val="28"/>
        </w:rPr>
        <w:t>這種說法，可說與中國哲學追尋經典的正義若合符節。</w:t>
      </w:r>
    </w:p>
    <w:sectPr w:rsidR="0047014F" w:rsidRPr="003D424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3B" w:rsidRDefault="008A1D3B">
      <w:r>
        <w:separator/>
      </w:r>
    </w:p>
  </w:endnote>
  <w:endnote w:type="continuationSeparator" w:id="0">
    <w:p w:rsidR="008A1D3B" w:rsidRDefault="008A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F" w:rsidRDefault="0047014F">
    <w:pPr>
      <w:pStyle w:val="a6"/>
      <w:jc w:val="right"/>
    </w:pPr>
    <w:r w:rsidRPr="001F56C9">
      <w:rPr>
        <w:kern w:val="0"/>
      </w:rPr>
      <w:fldChar w:fldCharType="begin"/>
    </w:r>
    <w:r w:rsidRPr="001F56C9">
      <w:rPr>
        <w:kern w:val="0"/>
      </w:rPr>
      <w:instrText xml:space="preserve"> FILENAME \p </w:instrText>
    </w:r>
    <w:r w:rsidRPr="001F56C9">
      <w:rPr>
        <w:kern w:val="0"/>
      </w:rPr>
      <w:fldChar w:fldCharType="separate"/>
    </w:r>
    <w:r>
      <w:rPr>
        <w:rFonts w:hint="eastAsia"/>
        <w:noProof/>
        <w:kern w:val="0"/>
      </w:rPr>
      <w:t>D:\My Documents\TK</w:t>
    </w:r>
    <w:r>
      <w:rPr>
        <w:rFonts w:hint="eastAsia"/>
        <w:noProof/>
        <w:kern w:val="0"/>
      </w:rPr>
      <w:t>講座</w:t>
    </w:r>
    <w:r>
      <w:rPr>
        <w:rFonts w:hint="eastAsia"/>
        <w:noProof/>
        <w:kern w:val="0"/>
      </w:rPr>
      <w:t>,</w:t>
    </w:r>
    <w:r>
      <w:rPr>
        <w:rFonts w:hint="eastAsia"/>
        <w:noProof/>
        <w:kern w:val="0"/>
      </w:rPr>
      <w:t>座談會</w:t>
    </w:r>
    <w:r>
      <w:rPr>
        <w:rFonts w:hint="eastAsia"/>
        <w:noProof/>
        <w:kern w:val="0"/>
      </w:rPr>
      <w:t>,</w:t>
    </w:r>
    <w:r>
      <w:rPr>
        <w:rFonts w:hint="eastAsia"/>
        <w:noProof/>
        <w:kern w:val="0"/>
      </w:rPr>
      <w:t>講論會</w:t>
    </w:r>
    <w:r>
      <w:rPr>
        <w:rFonts w:hint="eastAsia"/>
        <w:noProof/>
        <w:kern w:val="0"/>
      </w:rPr>
      <w:t>_</w:t>
    </w:r>
    <w:r>
      <w:rPr>
        <w:rFonts w:hint="eastAsia"/>
        <w:noProof/>
        <w:kern w:val="0"/>
      </w:rPr>
      <w:t>包括大綱</w:t>
    </w:r>
    <w:r>
      <w:rPr>
        <w:rFonts w:hint="eastAsia"/>
        <w:noProof/>
        <w:kern w:val="0"/>
      </w:rPr>
      <w:t>\Z1</w:t>
    </w:r>
    <w:r>
      <w:rPr>
        <w:rFonts w:hint="eastAsia"/>
        <w:noProof/>
        <w:kern w:val="0"/>
      </w:rPr>
      <w:t>比較哲學</w:t>
    </w:r>
    <w:r>
      <w:rPr>
        <w:rFonts w:hint="eastAsia"/>
        <w:noProof/>
        <w:kern w:val="0"/>
      </w:rPr>
      <w:t>\2011-04</w:t>
    </w:r>
    <w:r>
      <w:rPr>
        <w:rFonts w:hint="eastAsia"/>
        <w:noProof/>
        <w:kern w:val="0"/>
      </w:rPr>
      <w:t>莊子注郭象講座</w:t>
    </w:r>
    <w:r>
      <w:rPr>
        <w:rFonts w:hint="eastAsia"/>
        <w:noProof/>
        <w:kern w:val="0"/>
      </w:rPr>
      <w:t>2.doc</w:t>
    </w:r>
    <w:r w:rsidRPr="001F56C9">
      <w:rPr>
        <w:kern w:val="0"/>
      </w:rPr>
      <w:fldChar w:fldCharType="end"/>
    </w:r>
    <w:r>
      <w:rPr>
        <w:rFonts w:hint="eastAsia"/>
        <w:kern w:val="0"/>
      </w:rPr>
      <w:t xml:space="preserve">　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TIME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3D424B">
      <w:rPr>
        <w:noProof/>
        <w:kern w:val="0"/>
      </w:rPr>
      <w:t>2015/8/12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3B" w:rsidRDefault="008A1D3B">
      <w:r>
        <w:separator/>
      </w:r>
    </w:p>
  </w:footnote>
  <w:footnote w:type="continuationSeparator" w:id="0">
    <w:p w:rsidR="008A1D3B" w:rsidRDefault="008A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F" w:rsidRDefault="0047014F">
    <w:pPr>
      <w:pStyle w:val="a8"/>
      <w:jc w:val="right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D424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頁（共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D424B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A72"/>
    <w:multiLevelType w:val="multilevel"/>
    <w:tmpl w:val="8E0263BC"/>
    <w:lvl w:ilvl="0">
      <w:start w:val="1"/>
      <w:numFmt w:val="taiwaneseCountingThousand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199B0A9F"/>
    <w:multiLevelType w:val="multilevel"/>
    <w:tmpl w:val="43DA795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>
    <w:nsid w:val="1FC92A33"/>
    <w:multiLevelType w:val="hybridMultilevel"/>
    <w:tmpl w:val="D4D458CA"/>
    <w:lvl w:ilvl="0" w:tplc="34D2D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AAE988">
      <w:start w:val="1"/>
      <w:numFmt w:val="decimal"/>
      <w:lvlText w:val="%2."/>
      <w:lvlJc w:val="left"/>
      <w:pPr>
        <w:tabs>
          <w:tab w:val="num" w:pos="537"/>
        </w:tabs>
        <w:ind w:left="480" w:firstLine="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C15DDA"/>
    <w:multiLevelType w:val="singleLevel"/>
    <w:tmpl w:val="5AC22E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">
    <w:nsid w:val="50242A0D"/>
    <w:multiLevelType w:val="multilevel"/>
    <w:tmpl w:val="FE64D098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pStyle w:val="2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53937FC7"/>
    <w:multiLevelType w:val="singleLevel"/>
    <w:tmpl w:val="9088254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6">
    <w:nsid w:val="6C83237B"/>
    <w:multiLevelType w:val="multilevel"/>
    <w:tmpl w:val="DD50D12C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4"/>
    <w:rsid w:val="000031DB"/>
    <w:rsid w:val="00017287"/>
    <w:rsid w:val="00022769"/>
    <w:rsid w:val="00027A59"/>
    <w:rsid w:val="00031A6C"/>
    <w:rsid w:val="0007462D"/>
    <w:rsid w:val="000C5347"/>
    <w:rsid w:val="000C75EC"/>
    <w:rsid w:val="001249F1"/>
    <w:rsid w:val="00131103"/>
    <w:rsid w:val="001425AE"/>
    <w:rsid w:val="001C5D1F"/>
    <w:rsid w:val="00283F9D"/>
    <w:rsid w:val="0029429A"/>
    <w:rsid w:val="00297816"/>
    <w:rsid w:val="002C15AA"/>
    <w:rsid w:val="00370EE6"/>
    <w:rsid w:val="003A3FFB"/>
    <w:rsid w:val="003D424B"/>
    <w:rsid w:val="003E3143"/>
    <w:rsid w:val="003F2FD7"/>
    <w:rsid w:val="0042089F"/>
    <w:rsid w:val="004322BE"/>
    <w:rsid w:val="0047014F"/>
    <w:rsid w:val="00474993"/>
    <w:rsid w:val="00490486"/>
    <w:rsid w:val="00492B81"/>
    <w:rsid w:val="00553587"/>
    <w:rsid w:val="00603FB7"/>
    <w:rsid w:val="006319E4"/>
    <w:rsid w:val="0063669D"/>
    <w:rsid w:val="0065057E"/>
    <w:rsid w:val="006A1ED7"/>
    <w:rsid w:val="006A630A"/>
    <w:rsid w:val="006D21EF"/>
    <w:rsid w:val="0071750A"/>
    <w:rsid w:val="007652F6"/>
    <w:rsid w:val="00774C98"/>
    <w:rsid w:val="007B1EAA"/>
    <w:rsid w:val="008133CF"/>
    <w:rsid w:val="008970FE"/>
    <w:rsid w:val="008A1D3B"/>
    <w:rsid w:val="008D4503"/>
    <w:rsid w:val="009769E4"/>
    <w:rsid w:val="009C01E5"/>
    <w:rsid w:val="009D227F"/>
    <w:rsid w:val="009D2653"/>
    <w:rsid w:val="00AA557B"/>
    <w:rsid w:val="00AC4EEB"/>
    <w:rsid w:val="00AE53B1"/>
    <w:rsid w:val="00B51E69"/>
    <w:rsid w:val="00B612C1"/>
    <w:rsid w:val="00B67E46"/>
    <w:rsid w:val="00B96745"/>
    <w:rsid w:val="00BD4B6E"/>
    <w:rsid w:val="00C52B63"/>
    <w:rsid w:val="00C72172"/>
    <w:rsid w:val="00C730D8"/>
    <w:rsid w:val="00CB77D4"/>
    <w:rsid w:val="00D12E94"/>
    <w:rsid w:val="00D24DEB"/>
    <w:rsid w:val="00D32EB8"/>
    <w:rsid w:val="00DA1036"/>
    <w:rsid w:val="00DB3FD9"/>
    <w:rsid w:val="00DC6C51"/>
    <w:rsid w:val="00DD6903"/>
    <w:rsid w:val="00DF05F3"/>
    <w:rsid w:val="00DF63EC"/>
    <w:rsid w:val="00F657A2"/>
    <w:rsid w:val="00F66BF6"/>
    <w:rsid w:val="00F7649C"/>
    <w:rsid w:val="00FA39AA"/>
    <w:rsid w:val="00FA422C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7CB01-B10D-4FBD-B74D-D54FF2EC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E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qFormat/>
    <w:rsid w:val="009769E4"/>
    <w:pPr>
      <w:keepNext/>
      <w:numPr>
        <w:numId w:val="2"/>
      </w:numPr>
      <w:spacing w:before="180" w:after="180"/>
      <w:outlineLvl w:val="0"/>
    </w:pPr>
    <w:rPr>
      <w:rFonts w:ascii="Arial" w:hAnsi="Arial"/>
      <w:b/>
      <w:color w:val="993300"/>
      <w:kern w:val="52"/>
      <w:szCs w:val="24"/>
      <w:u w:val="single"/>
    </w:rPr>
  </w:style>
  <w:style w:type="paragraph" w:styleId="2">
    <w:name w:val="heading 2"/>
    <w:basedOn w:val="a"/>
    <w:next w:val="a0"/>
    <w:link w:val="20"/>
    <w:autoRedefine/>
    <w:qFormat/>
    <w:rsid w:val="009769E4"/>
    <w:pPr>
      <w:keepNext/>
      <w:numPr>
        <w:ilvl w:val="1"/>
        <w:numId w:val="5"/>
      </w:numPr>
      <w:outlineLvl w:val="1"/>
    </w:pPr>
    <w:rPr>
      <w:rFonts w:ascii="Arial" w:hAnsi="Arial"/>
      <w:color w:val="800080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769E4"/>
    <w:rPr>
      <w:rFonts w:ascii="Arial" w:eastAsia="新細明體" w:hAnsi="Arial" w:cs="Times New Roman"/>
      <w:b/>
      <w:color w:val="993300"/>
      <w:kern w:val="52"/>
      <w:szCs w:val="24"/>
      <w:u w:val="single"/>
    </w:rPr>
  </w:style>
  <w:style w:type="character" w:customStyle="1" w:styleId="20">
    <w:name w:val="標題 2 字元"/>
    <w:basedOn w:val="a1"/>
    <w:link w:val="2"/>
    <w:rsid w:val="009769E4"/>
    <w:rPr>
      <w:rFonts w:ascii="Arial" w:eastAsia="新細明體" w:hAnsi="Arial" w:cs="Times New Roman"/>
      <w:color w:val="800080"/>
      <w:szCs w:val="24"/>
      <w:u w:val="single"/>
    </w:rPr>
  </w:style>
  <w:style w:type="paragraph" w:styleId="a4">
    <w:name w:val="Plain Text"/>
    <w:aliases w:val="一般文字 字元"/>
    <w:basedOn w:val="a"/>
    <w:link w:val="a5"/>
    <w:rsid w:val="009769E4"/>
    <w:rPr>
      <w:rFonts w:ascii="細明體" w:eastAsia="細明體" w:hAnsi="Courier New"/>
    </w:rPr>
  </w:style>
  <w:style w:type="character" w:customStyle="1" w:styleId="a5">
    <w:name w:val="純文字 字元"/>
    <w:aliases w:val="一般文字 字元 字元"/>
    <w:basedOn w:val="a1"/>
    <w:link w:val="a4"/>
    <w:rsid w:val="009769E4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rsid w:val="0097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9769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97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9769E4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nhideWhenUsed/>
    <w:rsid w:val="009769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Kwai Piu</dc:creator>
  <cp:keywords/>
  <dc:description/>
  <cp:lastModifiedBy>Lau Kwai Piu</cp:lastModifiedBy>
  <cp:revision>57</cp:revision>
  <dcterms:created xsi:type="dcterms:W3CDTF">2015-08-11T01:19:00Z</dcterms:created>
  <dcterms:modified xsi:type="dcterms:W3CDTF">2015-08-12T02:37:00Z</dcterms:modified>
</cp:coreProperties>
</file>